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岭东区区本级行政规范性文件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制定主体清单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人民政府办公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室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3.双鸭山市岭东区发展和改革局(双鸭山市岭东区粮食和物资储备局）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4.双鸭山市岭东区教育和体育局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5.双鸭山市岭东区工业信息科技局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6.双鸭山市岭东区民族宗教事务局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7.双鸭山市岭东区民政局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8.双鸭山市岭东区司法局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9.双鸭山市岭东区财政局（双鸭山市岭东区国有资产监督管理办公室）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10.双鸭山市岭东区人力资源和社会保障局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11.双鸭山市岭东区农业农村局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12.双鸭山市岭东区商务局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13.双鸭山市岭东区文化广电和旅游局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14.双鸭山市岭东区卫生健康局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15.双鸭山市岭东区退役军人事务局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16.双鸭山市岭东区应急管理局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17.双鸭山市岭东区审计局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18.双鸭山市岭东区住房和城乡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双鸭山市岭东区营商环境建设监督局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林业和草原局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双鸭山市岭东区煤炭生产安全管理局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双鸭山市岭东区信访局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24.双鸭山市岭东区档案局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25.双鸭山市岭东区国家密码管理局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26.双鸭山市岭东区国家保密局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27.双鸭山市岭东区残疾人联合会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南山街道办事处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中山街道办事处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北山街道办事处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东山街道办事处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西山街道办事处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双鸭山市岭东区</w:t>
      </w:r>
      <w:r>
        <w:rPr>
          <w:rFonts w:hint="eastAsia" w:ascii="仿宋_GB2312" w:hAnsi="仿宋_GB2312" w:eastAsia="仿宋_GB2312" w:cs="仿宋_GB2312"/>
          <w:sz w:val="32"/>
          <w:szCs w:val="32"/>
        </w:rPr>
        <w:t>长胜乡人民政府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MDVmY2VmOGQ4ODc4ZWMyMDRiNTNhYzY4MjE1YzkifQ=="/>
  </w:docVars>
  <w:rsids>
    <w:rsidRoot w:val="362D7BF9"/>
    <w:rsid w:val="362D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589</Characters>
  <Lines>0</Lines>
  <Paragraphs>0</Paragraphs>
  <TotalTime>0</TotalTime>
  <ScaleCrop>false</ScaleCrop>
  <LinksUpToDate>false</LinksUpToDate>
  <CharactersWithSpaces>589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2026-09-09T07:20:00Z</dcterms:created>
  <dc:creator>Administrator</dc:creator>
  <cp:lastModifiedBy>Administrator</cp:lastModifiedBy>
  <dcterms:modified xsi:type="dcterms:W3CDTF">2026-09-09T07:20:41Z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0FC00FC04CE64DF9AB029E8526953D1B</vt:lpwstr>
  </property>
</Properties>
</file>